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05023" w14:textId="1D19F36C" w:rsidR="00BA40A1" w:rsidRPr="00BA40A1" w:rsidRDefault="00BA40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ПРОЕКТ</w:t>
      </w:r>
    </w:p>
    <w:p w14:paraId="095FB655" w14:textId="25A24867" w:rsidR="000D123E" w:rsidRPr="00BA40A1" w:rsidRDefault="00C877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ПОСТАНОВЛЕНИЕ </w:t>
      </w:r>
    </w:p>
    <w:p w14:paraId="37E28C08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351FA00" w14:textId="77E195A2" w:rsidR="002B3A9B" w:rsidRDefault="002B3A9B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 xml:space="preserve">00.00.0000 г. </w:t>
      </w:r>
      <w:r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</w:r>
      <w:r w:rsidR="005D1E3A" w:rsidRPr="00AF201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ab/>
        <w:t>№00</w:t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4F6A43D1" w14:textId="77777777"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F946518" w14:textId="1CF3DE1F"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на территории </w:t>
      </w:r>
      <w:r w:rsidR="001D5DC9" w:rsidRPr="001D5DC9">
        <w:rPr>
          <w:rFonts w:ascii="Times New Roman" w:eastAsia="Times New Roman" w:hAnsi="Times New Roman" w:cs="Times New Roman"/>
          <w:b/>
          <w:bCs/>
          <w:sz w:val="24"/>
        </w:rPr>
        <w:t>муниципально</w:t>
      </w:r>
      <w:r w:rsidR="001D5DC9">
        <w:rPr>
          <w:rFonts w:ascii="Times New Roman" w:eastAsia="Times New Roman" w:hAnsi="Times New Roman" w:cs="Times New Roman"/>
          <w:b/>
          <w:bCs/>
          <w:sz w:val="24"/>
        </w:rPr>
        <w:t>го</w:t>
      </w:r>
      <w:r w:rsidR="001D5DC9" w:rsidRPr="001D5DC9">
        <w:rPr>
          <w:rFonts w:ascii="Times New Roman" w:eastAsia="Times New Roman" w:hAnsi="Times New Roman" w:cs="Times New Roman"/>
          <w:b/>
          <w:bCs/>
          <w:sz w:val="24"/>
        </w:rPr>
        <w:t xml:space="preserve"> образовани</w:t>
      </w:r>
      <w:r w:rsidR="001D5DC9">
        <w:rPr>
          <w:rFonts w:ascii="Times New Roman" w:eastAsia="Times New Roman" w:hAnsi="Times New Roman" w:cs="Times New Roman"/>
          <w:b/>
          <w:bCs/>
          <w:sz w:val="24"/>
        </w:rPr>
        <w:t>я</w:t>
      </w:r>
      <w:r w:rsidR="001D5DC9" w:rsidRPr="001D5DC9">
        <w:rPr>
          <w:rFonts w:ascii="Times New Roman" w:eastAsia="Times New Roman" w:hAnsi="Times New Roman" w:cs="Times New Roman"/>
          <w:b/>
          <w:bCs/>
          <w:sz w:val="24"/>
        </w:rPr>
        <w:t xml:space="preserve"> «</w:t>
      </w:r>
      <w:bookmarkStart w:id="0" w:name="_Hlk128989895"/>
      <w:r w:rsidR="001D5DC9" w:rsidRPr="001D5DC9">
        <w:rPr>
          <w:rFonts w:ascii="Times New Roman" w:eastAsia="Times New Roman" w:hAnsi="Times New Roman" w:cs="Times New Roman"/>
          <w:b/>
          <w:bCs/>
          <w:sz w:val="24"/>
        </w:rPr>
        <w:t>Успенский сельсовет»</w:t>
      </w:r>
      <w:r w:rsidR="001D5DC9">
        <w:rPr>
          <w:rFonts w:ascii="Times New Roman" w:eastAsia="Times New Roman" w:hAnsi="Times New Roman" w:cs="Times New Roman"/>
          <w:b/>
          <w:bCs/>
          <w:sz w:val="24"/>
        </w:rPr>
        <w:t xml:space="preserve"> Ахтубинского района </w:t>
      </w:r>
      <w:r w:rsidR="0029726C">
        <w:rPr>
          <w:rFonts w:ascii="Times New Roman" w:eastAsia="Times New Roman" w:hAnsi="Times New Roman" w:cs="Times New Roman"/>
          <w:b/>
          <w:bCs/>
          <w:color w:val="000000"/>
          <w:sz w:val="24"/>
        </w:rPr>
        <w:t>Астраханской области</w:t>
      </w:r>
      <w:bookmarkEnd w:id="0"/>
      <w:r w:rsidR="0029726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37077E">
        <w:rPr>
          <w:rFonts w:ascii="Times New Roman" w:eastAsia="Times New Roman" w:hAnsi="Times New Roman" w:cs="Times New Roman"/>
          <w:b/>
          <w:bCs/>
          <w:color w:val="000000"/>
          <w:sz w:val="24"/>
        </w:rPr>
        <w:t>3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 </w:t>
      </w:r>
    </w:p>
    <w:p w14:paraId="1AF70F8E" w14:textId="6CE0DA0D"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1A1425" w14:textId="77777777"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31C7927" w14:textId="31A2A6B4" w:rsidR="000D123E" w:rsidRDefault="00C87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дерации",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</w:t>
      </w:r>
      <w:r w:rsidR="000A3999">
        <w:rPr>
          <w:rFonts w:ascii="Times New Roman" w:eastAsia="Times New Roman" w:hAnsi="Times New Roman" w:cs="Times New Roman"/>
          <w:color w:val="000000"/>
          <w:sz w:val="24"/>
        </w:rPr>
        <w:t xml:space="preserve"> муниципального образования «</w:t>
      </w:r>
      <w:r w:rsidR="000A3999" w:rsidRPr="000A3999">
        <w:rPr>
          <w:rFonts w:ascii="Times New Roman" w:eastAsia="Times New Roman" w:hAnsi="Times New Roman" w:cs="Times New Roman"/>
          <w:color w:val="000000"/>
          <w:sz w:val="24"/>
        </w:rPr>
        <w:t>Успенский сельсовет» Ахтубинского района Астраханской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1D6C41" w:rsidRPr="001D6C41">
        <w:rPr>
          <w:rFonts w:ascii="Times New Roman" w:eastAsia="Times New Roman" w:hAnsi="Times New Roman" w:cs="Times New Roman"/>
          <w:color w:val="000000"/>
          <w:sz w:val="24"/>
        </w:rPr>
        <w:t>муниципального образования «Успенский сельсовет» Ахтубинского района Астраханской области</w:t>
      </w:r>
      <w:r w:rsidR="001D6C41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39A9A1D4" w14:textId="77777777"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609A58" w14:textId="34832C99" w:rsidR="000D123E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14:paraId="030DFF42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B063FEC" w14:textId="7E0CF302" w:rsidR="000D123E" w:rsidRDefault="00C87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Утвердить Программу профилактики риск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</w:t>
      </w:r>
      <w:r w:rsidR="006004A9" w:rsidRPr="006004A9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образования «Успенский сельсовет» Ахтубинского района Астраханской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14:paraId="49CF1C60" w14:textId="07B9DB78" w:rsidR="000D123E" w:rsidRDefault="00C87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9805EFA" w14:textId="3D46FF6A" w:rsidR="000D123E" w:rsidRDefault="00C87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Настоящее постановление вступает в силу с </w:t>
      </w:r>
      <w:r w:rsidR="008A1829" w:rsidRPr="0071221A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00.00.2023 года</w:t>
      </w:r>
      <w:r w:rsidR="008A1829">
        <w:rPr>
          <w:rFonts w:ascii="Times New Roman" w:eastAsia="Times New Roman" w:hAnsi="Times New Roman" w:cs="Times New Roman"/>
          <w:color w:val="000000"/>
          <w:sz w:val="24"/>
        </w:rPr>
        <w:t xml:space="preserve"> и распространяет свое действие на правоотношения, возникшие с </w:t>
      </w:r>
      <w:r>
        <w:rPr>
          <w:rFonts w:ascii="Times New Roman" w:eastAsia="Times New Roman" w:hAnsi="Times New Roman" w:cs="Times New Roman"/>
          <w:color w:val="000000"/>
          <w:sz w:val="24"/>
        </w:rPr>
        <w:t>1 января 202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14:paraId="3CC856F7" w14:textId="77777777"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CBD19C5" w14:textId="77777777"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D9284D1" w14:textId="589220B0" w:rsidR="000D123E" w:rsidRDefault="00C877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  <w:t>____________</w:t>
      </w:r>
    </w:p>
    <w:p w14:paraId="759D1053" w14:textId="03F7C61A" w:rsidR="000D123E" w:rsidRDefault="00C877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258831D2" w14:textId="77777777"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EC0DE4" w14:textId="77777777"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DDE468" w14:textId="77777777"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19037EF" w14:textId="77777777"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4BE909C" w14:textId="10E50BD0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02EFB9" w14:textId="59604799" w:rsidR="00D24625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DA7A959" w14:textId="77777777" w:rsidR="00D3094D" w:rsidRDefault="00D3094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861E2EC" w14:textId="4E4B51A6" w:rsidR="00D24625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A8825F2" w14:textId="77777777" w:rsidR="00D24625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3AD3EF1" w14:textId="35F0DB5C" w:rsidR="000D123E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Приложение</w:t>
      </w:r>
    </w:p>
    <w:p w14:paraId="38548DCD" w14:textId="77777777" w:rsidR="000D123E" w:rsidRDefault="00C8770A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4ABE519D" w14:textId="7F19270E" w:rsidR="000D123E" w:rsidRDefault="009C5285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5285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образования «Успенский сельсовет» Ахтубинского района Астраханской области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97D62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00</w:t>
      </w:r>
      <w:r w:rsidR="00D24625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.</w:t>
      </w:r>
      <w:r w:rsidR="00D97D62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00</w:t>
      </w:r>
      <w:r w:rsidR="00D24625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.</w:t>
      </w:r>
      <w:r w:rsidR="00E2047A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0000</w:t>
      </w:r>
      <w:r w:rsidR="00D24625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г</w:t>
      </w:r>
      <w:r w:rsidR="00E2047A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.</w:t>
      </w:r>
      <w:r w:rsidR="00D24625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 xml:space="preserve">  </w:t>
      </w:r>
      <w:r w:rsidR="00D24625" w:rsidRPr="009C5285">
        <w:rPr>
          <w:rFonts w:ascii="Segoe UI Symbol" w:eastAsia="Segoe UI Symbol" w:hAnsi="Segoe UI Symbol" w:cs="Segoe UI Symbol"/>
          <w:color w:val="000000"/>
          <w:sz w:val="24"/>
          <w:highlight w:val="yellow"/>
        </w:rPr>
        <w:t>№</w:t>
      </w:r>
      <w:r w:rsidR="00D24625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 xml:space="preserve"> </w:t>
      </w:r>
      <w:r w:rsidR="006617E9" w:rsidRPr="009C5285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00</w:t>
      </w:r>
    </w:p>
    <w:p w14:paraId="024DD5F8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F164E13" w14:textId="726DA60E" w:rsidR="000D123E" w:rsidRDefault="00C877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14:paraId="15BE3DF2" w14:textId="6498350B" w:rsidR="002455CF" w:rsidRDefault="00C8770A" w:rsidP="002455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территории</w:t>
      </w:r>
      <w:r w:rsidR="002455CF" w:rsidRPr="002455CF">
        <w:t xml:space="preserve"> </w:t>
      </w:r>
      <w:r w:rsidR="002455CF" w:rsidRPr="002455CF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образования «Успенский сельсовет» Ахтубинского района Астраханской области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3E5B2DE1" w14:textId="16AE9BA3" w:rsidR="000D123E" w:rsidRDefault="00E204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2023 год</w:t>
      </w:r>
    </w:p>
    <w:p w14:paraId="4AFBD6B9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6943B6" w14:textId="5F350BC5" w:rsidR="000D123E" w:rsidRDefault="00C8770A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Раздел 1. Анализ текущего состояния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контрольного(надзорного)органа,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7357620C" w14:textId="184D37A0" w:rsidR="000D123E" w:rsidRDefault="00C8770A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A596AC1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16CD1" w14:textId="4B0050A2" w:rsidR="000D123E" w:rsidRDefault="00C8770A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</w:t>
      </w:r>
      <w:r>
        <w:rPr>
          <w:rFonts w:ascii="Times New Roman" w:eastAsia="Times New Roman" w:hAnsi="Times New Roman" w:cs="Times New Roman"/>
          <w:color w:val="000000"/>
          <w:sz w:val="24"/>
        </w:rPr>
        <w:t>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</w:t>
      </w:r>
      <w:r w:rsidR="00E278F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278F2" w:rsidRPr="00E278F2">
        <w:rPr>
          <w:rFonts w:ascii="Times New Roman" w:eastAsia="Times New Roman" w:hAnsi="Times New Roman" w:cs="Times New Roman"/>
          <w:color w:val="000000"/>
          <w:sz w:val="24"/>
        </w:rPr>
        <w:t>муниципального образования «Успенский сельсовет» Ахтубинского района Астраханской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BA04AED" w14:textId="213BCC91"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с 01.01.2022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</w:t>
      </w:r>
      <w:r w:rsidR="00892ECA">
        <w:rPr>
          <w:rFonts w:ascii="Times New Roman" w:eastAsia="Times New Roman" w:hAnsi="Times New Roman" w:cs="Times New Roman"/>
          <w:color w:val="000000"/>
          <w:sz w:val="24"/>
        </w:rPr>
        <w:t>12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.2022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863B01" w:rsidRPr="00863B01">
        <w:rPr>
          <w:rFonts w:ascii="Times New Roman" w:eastAsia="Times New Roman" w:hAnsi="Times New Roman" w:cs="Times New Roman"/>
          <w:color w:val="000000"/>
          <w:sz w:val="24"/>
        </w:rPr>
        <w:t>муниципального образования «Успенский сельсовет» Ахтубинского района Астраханской области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27CBB00" w14:textId="4A7EA7E8" w:rsidR="001F58E6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 2022 год, не представляется возможным.  </w:t>
      </w:r>
    </w:p>
    <w:p w14:paraId="77FC3DA7" w14:textId="23957993" w:rsidR="00BE3B8A" w:rsidRDefault="00BE3B8A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Профилактическая деятельность администрации осуществляется в соответствии с </w:t>
      </w:r>
      <w:r w:rsidR="00595447">
        <w:rPr>
          <w:rFonts w:ascii="Times New Roman" w:eastAsia="Times New Roman" w:hAnsi="Times New Roman" w:cs="Times New Roman"/>
          <w:color w:val="000000"/>
          <w:sz w:val="24"/>
        </w:rPr>
        <w:t xml:space="preserve">ежегодно утверждаемой </w:t>
      </w:r>
      <w:r>
        <w:rPr>
          <w:rFonts w:ascii="Times New Roman" w:eastAsia="Times New Roman" w:hAnsi="Times New Roman" w:cs="Times New Roman"/>
          <w:color w:val="000000"/>
          <w:sz w:val="24"/>
        </w:rPr>
        <w:t>программой профилактики</w:t>
      </w:r>
      <w:r w:rsidR="00595447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DA7D5E7" w14:textId="0AC5F4C9" w:rsidR="009D0D81" w:rsidRDefault="009D0D81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4C6BC7" w14:textId="27E0CF83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6859DF1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7DBAA40C" w14:textId="197AF410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7C3456F8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3E7C9BE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lastRenderedPageBreak/>
        <w:t>в) создание мотивации к добросовестному поведению подконтрольных субъектов;</w:t>
      </w:r>
    </w:p>
    <w:p w14:paraId="4D74CE4B" w14:textId="1CF1D0EC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1AFEFF" w14:textId="27D9C62C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47B537C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22C23E6" w14:textId="32FF5856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ECA50D" w14:textId="09EB0C0E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989"/>
        <w:gridCol w:w="2386"/>
        <w:gridCol w:w="3550"/>
      </w:tblGrid>
      <w:tr w:rsidR="000D123E" w14:paraId="38550A3D" w14:textId="77777777" w:rsidTr="00493B7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8BE6F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E77C0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4C8E8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Срок (периодичность)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проведения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C430D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14:paraId="7BA0B9E1" w14:textId="77777777" w:rsidTr="00493B7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688B3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6F9E5" w14:textId="77777777" w:rsidR="000D123E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288D88E1" w14:textId="77777777" w:rsidR="000D123E" w:rsidRDefault="00C8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58C8EC8A" w14:textId="77777777" w:rsidR="000D123E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трольный орган осуществляет:</w:t>
            </w:r>
          </w:p>
          <w:p w14:paraId="2F274AF1" w14:textId="77777777" w:rsidR="000D123E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1172CD1B" w14:textId="77777777" w:rsidR="000D123E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действующих в соответствующей сфере;</w:t>
            </w:r>
          </w:p>
          <w:p w14:paraId="7C333835" w14:textId="77777777" w:rsidR="000D123E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размещение сведений о порядке досудебного обжалования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ешений контрольного (надзорного) органа, действий (бездействия) </w:t>
            </w:r>
          </w:p>
          <w:p w14:paraId="54003A52" w14:textId="77777777" w:rsidR="000D123E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14:paraId="27CA3960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ду контроля (надзора).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7ECB2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033D2" w14:textId="12D15B2A" w:rsidR="000D123E" w:rsidRPr="00243708" w:rsidRDefault="0024370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43708">
              <w:rPr>
                <w:rFonts w:ascii="Times New Roman" w:hAnsi="Times New Roman" w:cs="Times New Roman"/>
              </w:rPr>
              <w:t>Администрация муниципального образования «Успенский сельсовет» Ахтубинского района Астраханской области</w:t>
            </w:r>
          </w:p>
        </w:tc>
      </w:tr>
      <w:tr w:rsidR="000D123E" w14:paraId="630CF65B" w14:textId="77777777" w:rsidTr="00493B79">
        <w:trPr>
          <w:trHeight w:val="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7EE96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58E874" w14:textId="77777777" w:rsidR="000D123E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0CDA7C91" w14:textId="77777777" w:rsidR="000D123E" w:rsidRDefault="00C8770A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Обобщение правоприменительной практики осуществляется администрацией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посредством сбора и анализа данных о проведенных контрольных мероприятиях и их результатах.</w:t>
            </w:r>
          </w:p>
          <w:p w14:paraId="34E972A9" w14:textId="10965A0C" w:rsidR="000D123E" w:rsidRDefault="00C8770A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ального контроля, который утверждается руководителем контрольного органа.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0C228" w14:textId="53C7711F" w:rsidR="000D123E" w:rsidRDefault="00F9659F" w:rsidP="00F96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Ежегодно </w:t>
            </w:r>
            <w:r w:rsidRPr="00F9659F">
              <w:rPr>
                <w:rFonts w:ascii="Times New Roman" w:eastAsia="Times New Roman" w:hAnsi="Times New Roman" w:cs="Times New Roman"/>
                <w:sz w:val="20"/>
              </w:rPr>
              <w:t>не позднее 1 марта года, следующего за отчетным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57883" w14:textId="3A3263F4" w:rsidR="000D123E" w:rsidRPr="006B352A" w:rsidRDefault="006B352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B352A">
              <w:rPr>
                <w:rFonts w:ascii="Times New Roman" w:hAnsi="Times New Roman" w:cs="Times New Roman"/>
              </w:rPr>
              <w:t>Администрация муниципального образования «Успенский сельсовет» Ахтубинского района Астраханской области</w:t>
            </w:r>
          </w:p>
        </w:tc>
      </w:tr>
      <w:tr w:rsidR="000D123E" w14:paraId="08C3CF85" w14:textId="77777777" w:rsidTr="00493B79">
        <w:trPr>
          <w:trHeight w:val="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3E6D1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A86AA" w14:textId="77777777" w:rsidR="000D123E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Объявление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предостережения</w:t>
            </w:r>
          </w:p>
          <w:p w14:paraId="289CFE14" w14:textId="77777777" w:rsidR="000D123E" w:rsidRDefault="00C8770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29CC1956" w14:textId="77777777"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4CA71" w14:textId="21AB68A3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мере поступления сведений о готовящихся нарушениях обязательных требований 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70E7D" w14:textId="6F8139B5" w:rsidR="000D123E" w:rsidRPr="000F3955" w:rsidRDefault="000F395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F3955">
              <w:rPr>
                <w:rFonts w:ascii="Times New Roman" w:hAnsi="Times New Roman" w:cs="Times New Roman"/>
              </w:rPr>
              <w:t>Администрация муниципального образования «Успенский сельсовет» Ахтубинского района Астраханской области</w:t>
            </w:r>
          </w:p>
        </w:tc>
      </w:tr>
      <w:tr w:rsidR="000D123E" w14:paraId="56BC84D5" w14:textId="77777777" w:rsidTr="00493B7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CC967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DD6C2" w14:textId="77777777" w:rsidR="00714027" w:rsidRPr="0071402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14027">
              <w:rPr>
                <w:rFonts w:ascii="Times New Roman" w:hAnsi="Times New Roman" w:cs="Times New Roman"/>
              </w:rPr>
              <w:t xml:space="preserve">Консультирование в устной форме проводится </w:t>
            </w:r>
            <w:r w:rsidRPr="00714027">
              <w:rPr>
                <w:rFonts w:ascii="Times New Roman" w:hAnsi="Times New Roman" w:cs="Times New Roman"/>
              </w:rPr>
              <w:lastRenderedPageBreak/>
              <w:t>инспекторами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14:paraId="7FD4A332" w14:textId="77777777" w:rsidR="00714027" w:rsidRPr="0071402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14027">
              <w:rPr>
                <w:rFonts w:ascii="Times New Roman" w:hAnsi="Times New Roman" w:cs="Times New Roman"/>
              </w:rPr>
              <w:t>а) местонахождение, контактные телефоны, адрес официального сайта администрации муниципального образования «Лиманский район», сети «Интернет» и адреса электронной почты;</w:t>
            </w:r>
          </w:p>
          <w:p w14:paraId="1B85A363" w14:textId="77777777" w:rsidR="00714027" w:rsidRPr="0071402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14027">
              <w:rPr>
                <w:rFonts w:ascii="Times New Roman" w:hAnsi="Times New Roman" w:cs="Times New Roman"/>
              </w:rPr>
              <w:t>б) график работы отдела муниципального контроля, время приема посетителей;</w:t>
            </w:r>
          </w:p>
          <w:p w14:paraId="70D9C7EE" w14:textId="77777777" w:rsidR="00714027" w:rsidRPr="0071402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14027">
              <w:rPr>
                <w:rFonts w:ascii="Times New Roman" w:hAnsi="Times New Roman" w:cs="Times New Roman"/>
              </w:rPr>
              <w:t>в) перечень нормативных правовых актов, регулирующих осуществление муниципального контроля, организация и осуществление муниципального контроля;</w:t>
            </w:r>
          </w:p>
          <w:p w14:paraId="13054EB2" w14:textId="6DD7F3CA" w:rsidR="000D123E" w:rsidRDefault="00714027" w:rsidP="00714027">
            <w:pPr>
              <w:spacing w:after="0" w:line="276" w:lineRule="auto"/>
              <w:jc w:val="both"/>
            </w:pPr>
            <w:r w:rsidRPr="00714027">
              <w:rPr>
                <w:rFonts w:ascii="Times New Roman" w:hAnsi="Times New Roman" w:cs="Times New Roman"/>
              </w:rPr>
              <w:t>г) перечень нормативных правовых актов, содержащих обязательные требования.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8C56D" w14:textId="77777777" w:rsidR="000D123E" w:rsidRDefault="00C8770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По мере поступления обращений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контролируемых лиц или их представителей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ABA5E" w14:textId="4621F166" w:rsidR="000D123E" w:rsidRPr="00D0093C" w:rsidRDefault="00D0093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0093C">
              <w:rPr>
                <w:rFonts w:ascii="Times New Roman" w:hAnsi="Times New Roman" w:cs="Times New Roman"/>
              </w:rPr>
              <w:lastRenderedPageBreak/>
              <w:t xml:space="preserve">Администрация муниципального образования «Успенский </w:t>
            </w:r>
            <w:r w:rsidRPr="00D0093C">
              <w:rPr>
                <w:rFonts w:ascii="Times New Roman" w:hAnsi="Times New Roman" w:cs="Times New Roman"/>
              </w:rPr>
              <w:lastRenderedPageBreak/>
              <w:t>сельсовет» Ахтубинского района Астраханской области</w:t>
            </w:r>
          </w:p>
        </w:tc>
      </w:tr>
    </w:tbl>
    <w:p w14:paraId="45234E3D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67D4A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8E06DF" w14:textId="77777777" w:rsidR="000D123E" w:rsidRDefault="00C8770A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46AA7D7E" w14:textId="5028C1D2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159D1481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9109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5562"/>
        <w:gridCol w:w="3118"/>
      </w:tblGrid>
      <w:tr w:rsidR="000D123E" w14:paraId="388DF578" w14:textId="77777777" w:rsidTr="00A16B4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Default="00C8770A" w:rsidP="00A16B4C">
            <w:pPr>
              <w:spacing w:before="101" w:after="0" w:line="244" w:lineRule="auto"/>
              <w:ind w:left="30" w:right="-167" w:hanging="37"/>
            </w:pPr>
            <w:bookmarkStart w:id="1" w:name="_GoBack" w:colFirst="0" w:colLast="0"/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Default="00C8770A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Default="00C8770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6FF095E8" w14:textId="77777777" w:rsidTr="00A16B4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Default="00C8770A" w:rsidP="00A16B4C">
            <w:pPr>
              <w:spacing w:before="101" w:after="0" w:line="240" w:lineRule="auto"/>
              <w:ind w:left="30" w:right="-1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Default="00C8770A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645344A1" w14:textId="3A356BE7" w:rsidR="000D123E" w:rsidRDefault="00C8770A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Default="00C8770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14:paraId="6EC10C8B" w14:textId="77777777" w:rsidTr="00A16B4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Default="00C8770A" w:rsidP="00A16B4C">
            <w:pPr>
              <w:spacing w:before="101" w:after="0" w:line="240" w:lineRule="auto"/>
              <w:ind w:left="30" w:right="-1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Default="00C8770A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Default="00C8770A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 w14:paraId="50D4BEF0" w14:textId="77777777" w:rsidTr="00A16B4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Default="00C8770A" w:rsidP="00A16B4C">
            <w:pPr>
              <w:spacing w:before="106" w:after="0" w:line="240" w:lineRule="auto"/>
              <w:ind w:left="30" w:right="-1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Default="00C8770A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Default="00C8770A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менее 2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контрольным(надзорным)органом</w:t>
            </w:r>
          </w:p>
        </w:tc>
      </w:tr>
      <w:bookmarkEnd w:id="1"/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Default="00C877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</w:t>
      </w:r>
      <w:r>
        <w:rPr>
          <w:rFonts w:ascii="Times New Roman" w:eastAsia="Times New Roman" w:hAnsi="Times New Roman" w:cs="Times New Roman"/>
          <w:sz w:val="24"/>
        </w:rPr>
        <w:t>контроль, обязательных требований.</w:t>
      </w:r>
    </w:p>
    <w:p w14:paraId="2EC3159A" w14:textId="77777777" w:rsidR="000D123E" w:rsidRDefault="00C877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0FE46B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EC690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86C786" w14:textId="77777777" w:rsidR="000D123E" w:rsidRDefault="00C877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E"/>
    <w:rsid w:val="000213ED"/>
    <w:rsid w:val="00022818"/>
    <w:rsid w:val="00026334"/>
    <w:rsid w:val="00042FA8"/>
    <w:rsid w:val="00054435"/>
    <w:rsid w:val="00067ADC"/>
    <w:rsid w:val="000A3999"/>
    <w:rsid w:val="000A5FFB"/>
    <w:rsid w:val="000D123E"/>
    <w:rsid w:val="000F3955"/>
    <w:rsid w:val="00111A74"/>
    <w:rsid w:val="00184AFB"/>
    <w:rsid w:val="00191534"/>
    <w:rsid w:val="001A6059"/>
    <w:rsid w:val="001B6B47"/>
    <w:rsid w:val="001D5DC9"/>
    <w:rsid w:val="001D67C6"/>
    <w:rsid w:val="001D6C41"/>
    <w:rsid w:val="001E0313"/>
    <w:rsid w:val="001F58E6"/>
    <w:rsid w:val="00224A37"/>
    <w:rsid w:val="00243708"/>
    <w:rsid w:val="002455CF"/>
    <w:rsid w:val="0029726C"/>
    <w:rsid w:val="002A2BBC"/>
    <w:rsid w:val="002B3A9B"/>
    <w:rsid w:val="00304D8D"/>
    <w:rsid w:val="003243D1"/>
    <w:rsid w:val="003251DC"/>
    <w:rsid w:val="003424FA"/>
    <w:rsid w:val="0036460F"/>
    <w:rsid w:val="0037077E"/>
    <w:rsid w:val="00377C8B"/>
    <w:rsid w:val="003E40A4"/>
    <w:rsid w:val="0044148B"/>
    <w:rsid w:val="00441CF0"/>
    <w:rsid w:val="004908EE"/>
    <w:rsid w:val="00493B79"/>
    <w:rsid w:val="004A7CFA"/>
    <w:rsid w:val="004B2E2C"/>
    <w:rsid w:val="0051273A"/>
    <w:rsid w:val="0055626F"/>
    <w:rsid w:val="0056633F"/>
    <w:rsid w:val="00592F86"/>
    <w:rsid w:val="00595447"/>
    <w:rsid w:val="005D1E3A"/>
    <w:rsid w:val="005E0B56"/>
    <w:rsid w:val="005F460D"/>
    <w:rsid w:val="006004A9"/>
    <w:rsid w:val="00607E0A"/>
    <w:rsid w:val="006617E9"/>
    <w:rsid w:val="00696870"/>
    <w:rsid w:val="006B352A"/>
    <w:rsid w:val="007038CA"/>
    <w:rsid w:val="0071221A"/>
    <w:rsid w:val="00714027"/>
    <w:rsid w:val="007328C6"/>
    <w:rsid w:val="00747876"/>
    <w:rsid w:val="0075221E"/>
    <w:rsid w:val="00765F6D"/>
    <w:rsid w:val="007664A4"/>
    <w:rsid w:val="00766AC6"/>
    <w:rsid w:val="007A7AC3"/>
    <w:rsid w:val="007D14A8"/>
    <w:rsid w:val="00810009"/>
    <w:rsid w:val="0085320C"/>
    <w:rsid w:val="00862321"/>
    <w:rsid w:val="00863B01"/>
    <w:rsid w:val="00886BF1"/>
    <w:rsid w:val="00892ECA"/>
    <w:rsid w:val="008A1829"/>
    <w:rsid w:val="008A6ADC"/>
    <w:rsid w:val="008B5867"/>
    <w:rsid w:val="008D4CE2"/>
    <w:rsid w:val="009256BA"/>
    <w:rsid w:val="009279F5"/>
    <w:rsid w:val="00957BFF"/>
    <w:rsid w:val="009C5285"/>
    <w:rsid w:val="009D0D81"/>
    <w:rsid w:val="009D23B1"/>
    <w:rsid w:val="009D59F5"/>
    <w:rsid w:val="009F11A0"/>
    <w:rsid w:val="00A06E41"/>
    <w:rsid w:val="00A16B4C"/>
    <w:rsid w:val="00A70F2A"/>
    <w:rsid w:val="00AC6BEA"/>
    <w:rsid w:val="00AD570C"/>
    <w:rsid w:val="00AF201B"/>
    <w:rsid w:val="00B65243"/>
    <w:rsid w:val="00BA40A1"/>
    <w:rsid w:val="00BC6A99"/>
    <w:rsid w:val="00BE3B8A"/>
    <w:rsid w:val="00C22AAD"/>
    <w:rsid w:val="00C77D40"/>
    <w:rsid w:val="00C8770A"/>
    <w:rsid w:val="00CA57D2"/>
    <w:rsid w:val="00CC7968"/>
    <w:rsid w:val="00CE361A"/>
    <w:rsid w:val="00D0093C"/>
    <w:rsid w:val="00D23AA0"/>
    <w:rsid w:val="00D24625"/>
    <w:rsid w:val="00D3094D"/>
    <w:rsid w:val="00D50370"/>
    <w:rsid w:val="00D82A3E"/>
    <w:rsid w:val="00D959DB"/>
    <w:rsid w:val="00D97D62"/>
    <w:rsid w:val="00DA3800"/>
    <w:rsid w:val="00DC2E03"/>
    <w:rsid w:val="00DC6798"/>
    <w:rsid w:val="00DC6FFD"/>
    <w:rsid w:val="00E2047A"/>
    <w:rsid w:val="00E278F2"/>
    <w:rsid w:val="00E308F1"/>
    <w:rsid w:val="00E53DF8"/>
    <w:rsid w:val="00E6341E"/>
    <w:rsid w:val="00E73975"/>
    <w:rsid w:val="00EE07E5"/>
    <w:rsid w:val="00EF2FE7"/>
    <w:rsid w:val="00F01A4B"/>
    <w:rsid w:val="00F07DEF"/>
    <w:rsid w:val="00F8477C"/>
    <w:rsid w:val="00F94B0D"/>
    <w:rsid w:val="00F9659F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  <w15:docId w15:val="{2F9CDF15-213D-4657-9F7A-F552FF3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2023-03-06T11:32:00Z</dcterms:created>
  <dcterms:modified xsi:type="dcterms:W3CDTF">2023-03-06T11:32:00Z</dcterms:modified>
</cp:coreProperties>
</file>