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E1E2" w14:textId="77777777" w:rsidR="005F19A7" w:rsidRPr="005F19A7" w:rsidRDefault="005F19A7" w:rsidP="005F19A7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19A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ОБРАЗОВАНИЯ</w:t>
      </w:r>
    </w:p>
    <w:p w14:paraId="0246819C" w14:textId="77777777" w:rsidR="005F19A7" w:rsidRPr="005F19A7" w:rsidRDefault="005F19A7" w:rsidP="005F19A7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19A7">
        <w:rPr>
          <w:rFonts w:ascii="Times New Roman" w:eastAsia="Times New Roman" w:hAnsi="Times New Roman" w:cs="Times New Roman"/>
          <w:sz w:val="28"/>
          <w:szCs w:val="28"/>
          <w:lang w:eastAsia="ar-SA"/>
        </w:rPr>
        <w:t>«УСПЕНСКИЙ СЕЛЬСОВЕТ»</w:t>
      </w:r>
    </w:p>
    <w:p w14:paraId="65E6DD5D" w14:textId="77777777" w:rsidR="005F19A7" w:rsidRPr="005F19A7" w:rsidRDefault="005F19A7" w:rsidP="005F19A7">
      <w:pPr>
        <w:keepNext/>
        <w:widowControl w:val="0"/>
        <w:suppressAutoHyphens/>
        <w:autoSpaceDE w:val="0"/>
        <w:spacing w:after="0" w:line="240" w:lineRule="auto"/>
        <w:ind w:left="-567"/>
        <w:jc w:val="center"/>
        <w:rPr>
          <w:rFonts w:ascii="Times New Roman" w:eastAsia="MS Mincho" w:hAnsi="Times New Roman" w:cs="Tahoma"/>
          <w:iCs/>
          <w:sz w:val="28"/>
          <w:szCs w:val="28"/>
          <w:lang w:eastAsia="ar-SA"/>
        </w:rPr>
      </w:pPr>
      <w:r w:rsidRPr="005F19A7">
        <w:rPr>
          <w:rFonts w:ascii="Times New Roman" w:eastAsia="MS Mincho" w:hAnsi="Times New Roman" w:cs="Tahoma"/>
          <w:iCs/>
          <w:sz w:val="28"/>
          <w:szCs w:val="28"/>
          <w:lang w:eastAsia="ar-SA"/>
        </w:rPr>
        <w:t>АХТУБИНСКИЙ РАЙОН АСТРАХАНСКАЯ ОБЛАСТЬ</w:t>
      </w:r>
    </w:p>
    <w:p w14:paraId="64C7329E" w14:textId="77777777" w:rsidR="005F19A7" w:rsidRPr="005F19A7" w:rsidRDefault="005F19A7" w:rsidP="005F19A7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EDD594" w14:textId="77777777" w:rsidR="005F19A7" w:rsidRPr="005F19A7" w:rsidRDefault="005F19A7" w:rsidP="005F19A7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19A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5351FA00" w14:textId="6C29BA28" w:rsidR="002B3A9B" w:rsidRDefault="005F19A7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Pr="005F19A7">
        <w:rPr>
          <w:rFonts w:ascii="Times New Roman" w:eastAsia="Times New Roman" w:hAnsi="Times New Roman" w:cs="Times New Roman"/>
          <w:color w:val="000000"/>
          <w:sz w:val="28"/>
        </w:rPr>
        <w:t>06.04.2023</w:t>
      </w:r>
      <w:r w:rsidR="002B3A9B" w:rsidRPr="005F19A7">
        <w:rPr>
          <w:rFonts w:ascii="Times New Roman" w:eastAsia="Times New Roman" w:hAnsi="Times New Roman" w:cs="Times New Roman"/>
          <w:color w:val="000000"/>
          <w:sz w:val="28"/>
        </w:rPr>
        <w:t xml:space="preserve"> г. </w:t>
      </w:r>
      <w:r w:rsidR="002B3A9B" w:rsidRPr="005F19A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2B3A9B" w:rsidRPr="005F19A7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5F19A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5F19A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5F19A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5F19A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5F19A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5F19A7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5F19A7">
        <w:rPr>
          <w:rFonts w:ascii="Times New Roman" w:eastAsia="Times New Roman" w:hAnsi="Times New Roman" w:cs="Times New Roman"/>
          <w:color w:val="000000"/>
          <w:sz w:val="28"/>
        </w:rPr>
        <w:tab/>
        <w:t>№14</w:t>
      </w:r>
      <w:r w:rsidR="005D1E3A" w:rsidRPr="005F19A7">
        <w:rPr>
          <w:rFonts w:ascii="Times New Roman" w:eastAsia="Times New Roman" w:hAnsi="Times New Roman" w:cs="Times New Roman"/>
          <w:color w:val="000000"/>
          <w:sz w:val="28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1F946518" w14:textId="3DA49744" w:rsidR="000D123E" w:rsidRPr="005F19A7" w:rsidRDefault="002B3A9B" w:rsidP="005F19A7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5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в сфере благоустройства на территории </w:t>
      </w:r>
      <w:r w:rsidR="001D5DC9" w:rsidRPr="005F19A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«</w:t>
      </w:r>
      <w:bookmarkStart w:id="0" w:name="_Hlk128989895"/>
      <w:r w:rsidR="001D5DC9" w:rsidRPr="005F1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Успенский сельсовет» Ахтубинского района </w:t>
      </w:r>
      <w:r w:rsidR="0029726C" w:rsidRPr="005F1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Астраханской области</w:t>
      </w:r>
      <w:bookmarkEnd w:id="0"/>
      <w:r w:rsidR="0029726C" w:rsidRPr="005F1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37077E" w:rsidRPr="005F1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5F1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14:paraId="1AF70F8E" w14:textId="6CE0DA0D" w:rsidR="000D123E" w:rsidRPr="005F19A7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1A1425" w14:textId="77777777" w:rsidR="005D1E3A" w:rsidRPr="005F19A7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C7927" w14:textId="31A2A6B4" w:rsidR="000D123E" w:rsidRPr="005F19A7" w:rsidRDefault="00C87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5F19A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5F19A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5F19A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</w:t>
      </w:r>
      <w:r w:rsidR="000A3999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«Успенский сельсовет» Ахтубинского района Астраханской области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администрация </w:t>
      </w:r>
      <w:r w:rsidR="001D6C41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«Успенский сельсовет» Ахтубинского района Астраханской области,</w:t>
      </w:r>
    </w:p>
    <w:p w14:paraId="6F337F46" w14:textId="77777777" w:rsidR="005F19A7" w:rsidRDefault="005F19A7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609A58" w14:textId="34832C99" w:rsidR="000D123E" w:rsidRPr="005F19A7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ПОСТАНОВЛЯЕТ:</w:t>
      </w:r>
    </w:p>
    <w:p w14:paraId="4B063FEC" w14:textId="7E0CF302" w:rsidR="000D123E" w:rsidRPr="005F19A7" w:rsidRDefault="00C87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6004A9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«Успенский сельсовет» Ахтубинского района Астраханской области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CE361A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49CF1C60" w14:textId="07B9DB78" w:rsidR="000D123E" w:rsidRPr="005F19A7" w:rsidRDefault="00C87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исполнением настоящего постановления </w:t>
      </w:r>
      <w:r w:rsidR="000213ED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805EFA" w14:textId="6A9EF540" w:rsidR="000D123E" w:rsidRPr="005F19A7" w:rsidRDefault="00C8770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Настоящее постановление вступает в силу с </w:t>
      </w:r>
      <w:r w:rsidR="005F19A7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06.04.2023</w:t>
      </w:r>
      <w:r w:rsidR="008A1829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и распространяет свое действие на правоотношения, возникшие с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1 января 202</w:t>
      </w:r>
      <w:r w:rsidR="000213ED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14:paraId="6CBD19C5" w14:textId="77777777" w:rsidR="000D123E" w:rsidRPr="005F19A7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D932AF" w14:textId="77777777" w:rsidR="005F19A7" w:rsidRPr="005F19A7" w:rsidRDefault="005F19A7" w:rsidP="005F19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    О.В. Мершиёва.</w:t>
      </w:r>
    </w:p>
    <w:p w14:paraId="197A1DF2" w14:textId="77777777" w:rsidR="005F19A7" w:rsidRPr="005F19A7" w:rsidRDefault="005F19A7" w:rsidP="005F19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МО «Успенский сельсовет»</w:t>
      </w:r>
    </w:p>
    <w:p w14:paraId="53AD3EF1" w14:textId="56051057" w:rsidR="000D123E" w:rsidRPr="005F19A7" w:rsidRDefault="00D24625" w:rsidP="005F19A7">
      <w:pPr>
        <w:spacing w:after="0" w:line="276" w:lineRule="auto"/>
        <w:ind w:firstLine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4ABE519D" w14:textId="79B13577" w:rsidR="000D123E" w:rsidRPr="005F19A7" w:rsidRDefault="00C8770A" w:rsidP="005F19A7">
      <w:pPr>
        <w:spacing w:after="0" w:line="276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  <w:r w:rsid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5285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«Успенский сельсовет» Ахтубинского района Астраханской области </w:t>
      </w:r>
      <w:r w:rsidR="00D24625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F19A7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06.04.2023 </w:t>
      </w:r>
      <w:r w:rsidR="00D24625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4625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24625" w:rsidRPr="005F19A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D24625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19A7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14:paraId="024DD5F8" w14:textId="77777777" w:rsidR="000D123E" w:rsidRPr="005F19A7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164E13" w14:textId="726DA60E" w:rsidR="000D123E" w:rsidRPr="005F19A7" w:rsidRDefault="00C877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</w:t>
      </w:r>
      <w:r w:rsidR="005E0B56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</w:p>
    <w:p w14:paraId="15BE3DF2" w14:textId="6498350B" w:rsidR="002455CF" w:rsidRPr="005F19A7" w:rsidRDefault="00C8770A" w:rsidP="002455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</w:t>
      </w:r>
      <w:r w:rsidR="002455CF" w:rsidRPr="005F19A7">
        <w:rPr>
          <w:rFonts w:ascii="Times New Roman" w:hAnsi="Times New Roman" w:cs="Times New Roman"/>
          <w:sz w:val="28"/>
          <w:szCs w:val="28"/>
        </w:rPr>
        <w:t xml:space="preserve"> </w:t>
      </w:r>
      <w:r w:rsidR="002455CF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 «Успенский сельсовет» Ахтубинского района Астраханской области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E5B2DE1" w14:textId="16AE9BA3" w:rsidR="000D123E" w:rsidRPr="005F19A7" w:rsidRDefault="00E204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2023 год</w:t>
      </w:r>
    </w:p>
    <w:p w14:paraId="4AFBD6B9" w14:textId="77777777" w:rsidR="000D123E" w:rsidRPr="005F19A7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943B6" w14:textId="5F350BC5" w:rsidR="000D123E" w:rsidRPr="005F19A7" w:rsidRDefault="00C8770A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контроля, описание текущего уровня развития профилактической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контрольного(надзорного)органа,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14:paraId="7357620C" w14:textId="184D37A0" w:rsidR="000D123E" w:rsidRPr="005F19A7" w:rsidRDefault="00C8770A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BC6A99"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14:paraId="7A596AC1" w14:textId="77777777" w:rsidR="000D123E" w:rsidRPr="005F19A7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16CD1" w14:textId="4B0050A2" w:rsidR="000D123E" w:rsidRPr="005F19A7" w:rsidRDefault="00C8770A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022818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22818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022818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5F19A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6633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8A6ADC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959DB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</w:t>
      </w:r>
      <w:r w:rsidR="00E278F2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«Успенский сельсовет» Ахтубинского района Астраханской области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BA04AED" w14:textId="213BCC91" w:rsidR="00592F86" w:rsidRPr="005F19A7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01.01.2022 года по </w:t>
      </w:r>
      <w:r w:rsidR="001E0313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31.</w:t>
      </w:r>
      <w:r w:rsidR="00892ECA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1E0313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.2022 года </w:t>
      </w:r>
      <w:r w:rsidR="0036460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863B01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«Успенский сельсовет» Ахтубинского района Астраханской области</w:t>
      </w:r>
      <w:r w:rsidR="0036460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проверки в рамках муниципального контроля </w:t>
      </w:r>
      <w:r w:rsidR="008B5867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36460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проводились</w:t>
      </w:r>
      <w:r w:rsidR="003424FA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9D23B1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</w:t>
      </w:r>
      <w:r w:rsidR="001F58E6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7CBB00" w14:textId="4A7EA7E8" w:rsidR="001F58E6" w:rsidRPr="005F19A7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2022 год, не представляется возможным.  </w:t>
      </w:r>
    </w:p>
    <w:p w14:paraId="77FC3DA7" w14:textId="23957993" w:rsidR="00BE3B8A" w:rsidRPr="005F19A7" w:rsidRDefault="00BE3B8A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Профилактическая деятельность администрации осуществляется в соответствии с </w:t>
      </w:r>
      <w:r w:rsidR="00595447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утверждаемой 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 профилактики</w:t>
      </w:r>
      <w:r w:rsidR="00595447"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DA7D5E7" w14:textId="0AC5F4C9" w:rsidR="009D0D81" w:rsidRPr="005F19A7" w:rsidRDefault="009D0D81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4C6BC7" w14:textId="27E0CF83" w:rsidR="009D0D81" w:rsidRPr="005F19A7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9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r w:rsidRPr="005F1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3DF8" w:rsidRPr="005F19A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F19A7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14:paraId="76859DF1" w14:textId="77777777" w:rsidR="00E53DF8" w:rsidRPr="005F19A7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7DBAA40C" w14:textId="197AF410" w:rsidR="00FC1723" w:rsidRPr="005F19A7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FC1723" w:rsidRPr="005F1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14:paraId="7C3456F8" w14:textId="77777777" w:rsidR="00FC1723" w:rsidRPr="005F19A7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5F19A7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14:paraId="3E7C9BE1" w14:textId="77777777" w:rsidR="00FC1723" w:rsidRPr="005F19A7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Pr="005F19A7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5F19A7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AFEFF" w14:textId="27D9C62C" w:rsidR="00FC1723" w:rsidRPr="005F19A7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FC1723" w:rsidRPr="005F1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14:paraId="47B537C1" w14:textId="77777777" w:rsidR="00FC1723" w:rsidRPr="005F19A7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5F19A7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5F19A7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14:paraId="622C23E6" w14:textId="32FF5856" w:rsidR="000D123E" w:rsidRPr="005F19A7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ECA50D" w14:textId="09EB0C0E" w:rsidR="001D67C6" w:rsidRPr="005F19A7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F19A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5F19A7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5F19A7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5F19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F19A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B26C177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947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431"/>
        <w:gridCol w:w="2126"/>
        <w:gridCol w:w="3354"/>
      </w:tblGrid>
      <w:tr w:rsidR="000D123E" w:rsidRPr="005F19A7" w14:paraId="38550A3D" w14:textId="77777777" w:rsidTr="005F19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8BE6F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Segoe UI Symbol" w:hAnsi="Times New Roman" w:cs="Times New Roman"/>
                <w:color w:val="000000"/>
                <w:sz w:val="26"/>
                <w:szCs w:val="26"/>
              </w:rPr>
              <w:t>№</w:t>
            </w: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п/п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0E77C0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4C8E8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 (периодичность) проведения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C430D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0D123E" w:rsidRPr="005F19A7" w14:paraId="7BA0B9E1" w14:textId="77777777" w:rsidTr="005F19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688B3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6F9E5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Информирование</w:t>
            </w:r>
          </w:p>
          <w:p w14:paraId="288D88E1" w14:textId="77777777" w:rsidR="000D123E" w:rsidRPr="005F19A7" w:rsidRDefault="00C8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5F19A7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248-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58C8EC8A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рамках настоящего профилактического мероприятия, контрольный орган осуществляет:</w:t>
            </w:r>
          </w:p>
          <w:p w14:paraId="2F274AF1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-разработку схем и/или инфографики, содержащей основные требования </w:t>
            </w:r>
          </w:p>
          <w:p w14:paraId="1172CD1B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7C333835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54003A52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его должностных лиц;</w:t>
            </w:r>
          </w:p>
          <w:p w14:paraId="27CA3960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7ECB2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033D2" w14:textId="12D15B2A" w:rsidR="000D123E" w:rsidRPr="005F19A7" w:rsidRDefault="002437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«Успенский сельсовет» Ахтубинского района Астраханской области</w:t>
            </w:r>
          </w:p>
        </w:tc>
      </w:tr>
      <w:tr w:rsidR="000D123E" w:rsidRPr="005F19A7" w14:paraId="630CF65B" w14:textId="77777777" w:rsidTr="005F19A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7EE96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58E874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Обобщение правоприменительной практики</w:t>
            </w:r>
          </w:p>
          <w:p w14:paraId="0CDA7C91" w14:textId="77777777" w:rsidR="000D123E" w:rsidRPr="005F19A7" w:rsidRDefault="00C8770A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4E972A9" w14:textId="10965A0C" w:rsidR="000D123E" w:rsidRPr="005F19A7" w:rsidRDefault="00C8770A">
            <w:pPr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0C228" w14:textId="53C7711F" w:rsidR="000D123E" w:rsidRPr="005F19A7" w:rsidRDefault="00F9659F" w:rsidP="00F96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Ежегодно не позднее 1 марта года, следующего за отчетным. 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57883" w14:textId="3A3263F4" w:rsidR="000D123E" w:rsidRPr="005F19A7" w:rsidRDefault="006B35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«Успенский сельсовет» Ахтубинского района Астраханской области</w:t>
            </w:r>
          </w:p>
        </w:tc>
      </w:tr>
      <w:tr w:rsidR="000D123E" w:rsidRPr="005F19A7" w14:paraId="08C3CF85" w14:textId="77777777" w:rsidTr="005F19A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3E6D1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A86AA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Объявление предостережения</w:t>
            </w:r>
          </w:p>
          <w:p w14:paraId="289CFE14" w14:textId="77777777" w:rsidR="000D123E" w:rsidRPr="005F19A7" w:rsidRDefault="00C8770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29CC1956" w14:textId="77777777" w:rsidR="000D123E" w:rsidRPr="005F19A7" w:rsidRDefault="000D1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4CA71" w14:textId="21AB68A3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по мере </w:t>
            </w: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070E7D" w14:textId="6F8139B5" w:rsidR="000D123E" w:rsidRPr="005F19A7" w:rsidRDefault="000F395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муниципального образования «Успенский сельсовет» Ахтубинского района Астраханской области</w:t>
            </w:r>
          </w:p>
        </w:tc>
      </w:tr>
      <w:tr w:rsidR="000D123E" w:rsidRPr="005F19A7" w14:paraId="56BC84D5" w14:textId="77777777" w:rsidTr="005F19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CC967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6DD6C2" w14:textId="77777777" w:rsidR="00714027" w:rsidRPr="005F19A7" w:rsidRDefault="00714027" w:rsidP="007140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hAnsi="Times New Roman" w:cs="Times New Roman"/>
                <w:sz w:val="26"/>
                <w:szCs w:val="26"/>
              </w:rPr>
              <w:t>Консультирование в устной форме проводится инспекторами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14:paraId="7FD4A332" w14:textId="77777777" w:rsidR="00714027" w:rsidRPr="005F19A7" w:rsidRDefault="00714027" w:rsidP="007140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hAnsi="Times New Roman" w:cs="Times New Roman"/>
                <w:sz w:val="26"/>
                <w:szCs w:val="26"/>
              </w:rPr>
              <w:t>а) местонахождение, контактные телефоны, адрес официального сайта администрации муниципального образования «Лиманский район», сети «Интернет» и адреса электронной почты;</w:t>
            </w:r>
          </w:p>
          <w:p w14:paraId="1B85A363" w14:textId="77777777" w:rsidR="00714027" w:rsidRPr="005F19A7" w:rsidRDefault="00714027" w:rsidP="007140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hAnsi="Times New Roman" w:cs="Times New Roman"/>
                <w:sz w:val="26"/>
                <w:szCs w:val="26"/>
              </w:rPr>
              <w:t>б) график работы отдела муниципального контроля, время приема посетителей;</w:t>
            </w:r>
          </w:p>
          <w:p w14:paraId="70D9C7EE" w14:textId="77777777" w:rsidR="00714027" w:rsidRPr="005F19A7" w:rsidRDefault="00714027" w:rsidP="007140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hAnsi="Times New Roman" w:cs="Times New Roman"/>
                <w:sz w:val="26"/>
                <w:szCs w:val="26"/>
              </w:rPr>
              <w:t xml:space="preserve">в) перечень нормативных правовых актов, регулирующих осуществление муниципального контроля, организация и </w:t>
            </w:r>
            <w:r w:rsidRPr="005F19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осуществление муниципального контроля;</w:t>
            </w:r>
          </w:p>
          <w:p w14:paraId="13054EB2" w14:textId="6DD7F3CA" w:rsidR="000D123E" w:rsidRPr="005F19A7" w:rsidRDefault="00714027" w:rsidP="0071402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hAnsi="Times New Roman" w:cs="Times New Roman"/>
                <w:sz w:val="26"/>
                <w:szCs w:val="26"/>
              </w:rPr>
              <w:t>г) перечень нормативных правовых актов, содержащих обязательные требования.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8C56D" w14:textId="77777777" w:rsidR="000D123E" w:rsidRPr="005F19A7" w:rsidRDefault="00C877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ABA5E" w14:textId="4621F166" w:rsidR="000D123E" w:rsidRPr="005F19A7" w:rsidRDefault="00D0093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«Успенский сельсовет» Ахтубинского района Астраханской области</w:t>
            </w:r>
          </w:p>
        </w:tc>
      </w:tr>
    </w:tbl>
    <w:p w14:paraId="45234E3D" w14:textId="77777777" w:rsidR="000D123E" w:rsidRPr="005F19A7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67D4A08" w14:textId="77777777" w:rsidR="000D123E" w:rsidRPr="005F19A7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6AA7D7E" w14:textId="6FD659CC" w:rsidR="000D123E" w:rsidRPr="005F19A7" w:rsidRDefault="00C8770A" w:rsidP="005F19A7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F19A7">
        <w:rPr>
          <w:rFonts w:ascii="Times New Roman" w:eastAsia="Times New Roman" w:hAnsi="Times New Roman" w:cs="Times New Roman"/>
          <w:b/>
          <w:color w:val="000000"/>
          <w:sz w:val="28"/>
        </w:rPr>
        <w:t>Раздел 4. Показатели результативности и эффективности</w:t>
      </w:r>
      <w:r w:rsidR="005F19A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377C8B" w:rsidRPr="005F19A7">
        <w:rPr>
          <w:rFonts w:ascii="Times New Roman" w:eastAsia="Times New Roman" w:hAnsi="Times New Roman" w:cs="Times New Roman"/>
          <w:b/>
          <w:color w:val="000000"/>
          <w:sz w:val="28"/>
        </w:rPr>
        <w:t>Программы профилактики</w:t>
      </w:r>
    </w:p>
    <w:p w14:paraId="159D1481" w14:textId="77777777" w:rsidR="000D123E" w:rsidRPr="005F19A7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628688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9109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5562"/>
        <w:gridCol w:w="3118"/>
      </w:tblGrid>
      <w:tr w:rsidR="000D123E" w14:paraId="388DF578" w14:textId="77777777" w:rsidTr="00A16B4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5F19A7" w:rsidRDefault="00C8770A" w:rsidP="00A16B4C">
            <w:pPr>
              <w:spacing w:before="101" w:after="0" w:line="244" w:lineRule="auto"/>
              <w:ind w:left="30" w:right="-167" w:hanging="37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5F19A7" w:rsidRDefault="00C8770A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r w:rsidR="00377C8B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5F19A7" w:rsidRDefault="00C8770A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Величина</w:t>
            </w:r>
          </w:p>
        </w:tc>
      </w:tr>
      <w:tr w:rsidR="000D123E" w14:paraId="6FF095E8" w14:textId="77777777" w:rsidTr="00A16B4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Pr="005F19A7" w:rsidRDefault="00C8770A" w:rsidP="00A16B4C">
            <w:pPr>
              <w:spacing w:before="101" w:after="0" w:line="240" w:lineRule="auto"/>
              <w:ind w:left="30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Pr="005F19A7" w:rsidRDefault="00C8770A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</w:t>
            </w:r>
            <w:r w:rsidR="00377C8B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контрольного органа в сети «Интернет» в соответствии счастью 3статьи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Федерального закона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июля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2021 г.</w:t>
            </w:r>
          </w:p>
          <w:p w14:paraId="645344A1" w14:textId="3A356BE7" w:rsidR="000D123E" w:rsidRPr="005F19A7" w:rsidRDefault="00C8770A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Segoe UI Symbol" w:hAnsi="Times New Roman" w:cs="Times New Roman"/>
                <w:sz w:val="26"/>
                <w:szCs w:val="26"/>
              </w:rPr>
              <w:t>№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248-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«О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государственном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контроле(надзоре)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муниципальном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контроле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7D14A8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Российской Федерации»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5F19A7" w:rsidRDefault="00C8770A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0D123E" w14:paraId="6EC10C8B" w14:textId="77777777" w:rsidTr="00A16B4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Pr="005F19A7" w:rsidRDefault="00C8770A" w:rsidP="00A16B4C">
            <w:pPr>
              <w:spacing w:before="101" w:after="0" w:line="240" w:lineRule="auto"/>
              <w:ind w:left="30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5F19A7" w:rsidRDefault="00C8770A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5F19A7" w:rsidRDefault="00C8770A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100 % от</w:t>
            </w:r>
            <w:r w:rsidR="00377C8B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числа</w:t>
            </w:r>
            <w:r w:rsidR="00377C8B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обратившихся</w:t>
            </w:r>
          </w:p>
        </w:tc>
      </w:tr>
      <w:tr w:rsidR="000D123E" w14:paraId="50D4BEF0" w14:textId="77777777" w:rsidTr="00A16B4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Pr="005F19A7" w:rsidRDefault="00C8770A" w:rsidP="00A16B4C">
            <w:pPr>
              <w:spacing w:before="106" w:after="0" w:line="240" w:lineRule="auto"/>
              <w:ind w:left="30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Pr="005F19A7" w:rsidRDefault="00C8770A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  <w:r w:rsidR="00377C8B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проведенных</w:t>
            </w:r>
            <w:r w:rsidR="00377C8B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профилактических</w:t>
            </w:r>
            <w:r w:rsidR="00377C8B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Pr="005F19A7" w:rsidRDefault="00C8770A" w:rsidP="005F19A7">
            <w:pPr>
              <w:spacing w:before="106" w:after="0" w:line="240" w:lineRule="auto"/>
              <w:ind w:left="178" w:firstLine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2 мероприятий,</w:t>
            </w:r>
            <w:r w:rsidR="00377C8B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проведенных</w:t>
            </w:r>
            <w:r w:rsidR="00377C8B"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контрольным(надзорн</w:t>
            </w:r>
            <w:bookmarkStart w:id="1" w:name="_GoBack"/>
            <w:bookmarkEnd w:id="1"/>
            <w:r w:rsidRPr="005F19A7">
              <w:rPr>
                <w:rFonts w:ascii="Times New Roman" w:eastAsia="Times New Roman" w:hAnsi="Times New Roman" w:cs="Times New Roman"/>
                <w:sz w:val="26"/>
                <w:szCs w:val="26"/>
              </w:rPr>
              <w:t>ым)органом</w:t>
            </w:r>
          </w:p>
        </w:tc>
      </w:tr>
    </w:tbl>
    <w:p w14:paraId="0CADEEDB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B11018" w14:textId="77777777" w:rsidR="000D123E" w:rsidRPr="005F19A7" w:rsidRDefault="00C877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5F19A7">
        <w:rPr>
          <w:rFonts w:ascii="Times New Roman" w:eastAsia="Times New Roman" w:hAnsi="Times New Roman" w:cs="Times New Roman"/>
          <w:sz w:val="28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Pr="005F19A7" w:rsidRDefault="00C877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5F19A7">
        <w:rPr>
          <w:rFonts w:ascii="Times New Roman" w:eastAsia="Times New Roman" w:hAnsi="Times New Roman" w:cs="Times New Roman"/>
          <w:sz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3F033C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0D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E"/>
    <w:rsid w:val="000213ED"/>
    <w:rsid w:val="00022818"/>
    <w:rsid w:val="00026334"/>
    <w:rsid w:val="00042FA8"/>
    <w:rsid w:val="00054435"/>
    <w:rsid w:val="00067ADC"/>
    <w:rsid w:val="000A3999"/>
    <w:rsid w:val="000A5FFB"/>
    <w:rsid w:val="000D123E"/>
    <w:rsid w:val="000F3955"/>
    <w:rsid w:val="00111A74"/>
    <w:rsid w:val="00184AFB"/>
    <w:rsid w:val="00191534"/>
    <w:rsid w:val="001A6059"/>
    <w:rsid w:val="001B6B47"/>
    <w:rsid w:val="001D5DC9"/>
    <w:rsid w:val="001D67C6"/>
    <w:rsid w:val="001D6C41"/>
    <w:rsid w:val="001E0313"/>
    <w:rsid w:val="001F58E6"/>
    <w:rsid w:val="00224A37"/>
    <w:rsid w:val="00243708"/>
    <w:rsid w:val="002455CF"/>
    <w:rsid w:val="0029726C"/>
    <w:rsid w:val="002A2BBC"/>
    <w:rsid w:val="002B3A9B"/>
    <w:rsid w:val="00304D8D"/>
    <w:rsid w:val="003243D1"/>
    <w:rsid w:val="003251DC"/>
    <w:rsid w:val="003424FA"/>
    <w:rsid w:val="0036460F"/>
    <w:rsid w:val="0037077E"/>
    <w:rsid w:val="00377C8B"/>
    <w:rsid w:val="003E40A4"/>
    <w:rsid w:val="0044148B"/>
    <w:rsid w:val="00441CF0"/>
    <w:rsid w:val="004908EE"/>
    <w:rsid w:val="00493B79"/>
    <w:rsid w:val="004A7CFA"/>
    <w:rsid w:val="004B2E2C"/>
    <w:rsid w:val="0051273A"/>
    <w:rsid w:val="0055626F"/>
    <w:rsid w:val="0056633F"/>
    <w:rsid w:val="00592F86"/>
    <w:rsid w:val="00595447"/>
    <w:rsid w:val="005D1E3A"/>
    <w:rsid w:val="005E0B56"/>
    <w:rsid w:val="005F19A7"/>
    <w:rsid w:val="005F460D"/>
    <w:rsid w:val="006004A9"/>
    <w:rsid w:val="00607E0A"/>
    <w:rsid w:val="006617E9"/>
    <w:rsid w:val="00696870"/>
    <w:rsid w:val="006B352A"/>
    <w:rsid w:val="007038CA"/>
    <w:rsid w:val="0071221A"/>
    <w:rsid w:val="00714027"/>
    <w:rsid w:val="007328C6"/>
    <w:rsid w:val="00747876"/>
    <w:rsid w:val="0075221E"/>
    <w:rsid w:val="00765F6D"/>
    <w:rsid w:val="007664A4"/>
    <w:rsid w:val="00766AC6"/>
    <w:rsid w:val="007A7AC3"/>
    <w:rsid w:val="007D14A8"/>
    <w:rsid w:val="00810009"/>
    <w:rsid w:val="0085320C"/>
    <w:rsid w:val="00862321"/>
    <w:rsid w:val="00863B01"/>
    <w:rsid w:val="00886BF1"/>
    <w:rsid w:val="00892ECA"/>
    <w:rsid w:val="008A1829"/>
    <w:rsid w:val="008A6ADC"/>
    <w:rsid w:val="008B5867"/>
    <w:rsid w:val="008D4CE2"/>
    <w:rsid w:val="009256BA"/>
    <w:rsid w:val="009279F5"/>
    <w:rsid w:val="00957BFF"/>
    <w:rsid w:val="009C5285"/>
    <w:rsid w:val="009D0D81"/>
    <w:rsid w:val="009D23B1"/>
    <w:rsid w:val="009D59F5"/>
    <w:rsid w:val="009F11A0"/>
    <w:rsid w:val="00A06E41"/>
    <w:rsid w:val="00A16B4C"/>
    <w:rsid w:val="00A70F2A"/>
    <w:rsid w:val="00AC6BEA"/>
    <w:rsid w:val="00AD570C"/>
    <w:rsid w:val="00AF201B"/>
    <w:rsid w:val="00B65243"/>
    <w:rsid w:val="00BA40A1"/>
    <w:rsid w:val="00BC6A99"/>
    <w:rsid w:val="00BE3B8A"/>
    <w:rsid w:val="00C22AAD"/>
    <w:rsid w:val="00C77D40"/>
    <w:rsid w:val="00C8770A"/>
    <w:rsid w:val="00CA57D2"/>
    <w:rsid w:val="00CC7968"/>
    <w:rsid w:val="00CE361A"/>
    <w:rsid w:val="00D0093C"/>
    <w:rsid w:val="00D23AA0"/>
    <w:rsid w:val="00D24625"/>
    <w:rsid w:val="00D3094D"/>
    <w:rsid w:val="00D50370"/>
    <w:rsid w:val="00D82A3E"/>
    <w:rsid w:val="00D959DB"/>
    <w:rsid w:val="00D97D62"/>
    <w:rsid w:val="00DA3800"/>
    <w:rsid w:val="00DC2E03"/>
    <w:rsid w:val="00DC6798"/>
    <w:rsid w:val="00DC6FFD"/>
    <w:rsid w:val="00E2047A"/>
    <w:rsid w:val="00E278F2"/>
    <w:rsid w:val="00E308F1"/>
    <w:rsid w:val="00E53DF8"/>
    <w:rsid w:val="00E6341E"/>
    <w:rsid w:val="00E73975"/>
    <w:rsid w:val="00EE07E5"/>
    <w:rsid w:val="00EF2FE7"/>
    <w:rsid w:val="00F01A4B"/>
    <w:rsid w:val="00F07DEF"/>
    <w:rsid w:val="00F8477C"/>
    <w:rsid w:val="00F94B0D"/>
    <w:rsid w:val="00F9659F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  <w15:docId w15:val="{2F9CDF15-213D-4657-9F7A-F552FF3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1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2023-04-04T04:50:00Z</cp:lastPrinted>
  <dcterms:created xsi:type="dcterms:W3CDTF">2023-04-04T04:50:00Z</dcterms:created>
  <dcterms:modified xsi:type="dcterms:W3CDTF">2023-04-04T04:50:00Z</dcterms:modified>
</cp:coreProperties>
</file>